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05D" w:rsidRPr="00FC32E8" w:rsidRDefault="00C821B0" w:rsidP="002B305D">
      <w:pPr>
        <w:pStyle w:val="Title"/>
      </w:pPr>
      <w:r>
        <w:t>Lecture #7</w:t>
      </w:r>
      <w:r w:rsidR="002B305D" w:rsidRPr="0001112F">
        <w:br/>
      </w:r>
      <w:r w:rsidR="006541F0">
        <w:t>16 October 2018</w:t>
      </w:r>
      <w:r w:rsidR="002B305D" w:rsidRPr="00FC32E8">
        <w:br/>
        <w:t>Cop</w:t>
      </w:r>
      <w:r w:rsidR="006541F0">
        <w:t>yright: Ronald B. Mitchell, 2018</w:t>
      </w:r>
    </w:p>
    <w:p w:rsidR="006541F0" w:rsidRDefault="006541F0" w:rsidP="006541F0"/>
    <w:p w:rsidR="00827A36" w:rsidRDefault="00827A36" w:rsidP="00827A36">
      <w:pPr>
        <w:pStyle w:val="Heading1"/>
      </w:pPr>
      <w:r w:rsidRPr="00AF6EF4">
        <w:t>Introduction</w:t>
      </w:r>
    </w:p>
    <w:p w:rsidR="00A74701" w:rsidRDefault="00A74701" w:rsidP="00827A36">
      <w:pPr>
        <w:pStyle w:val="Heading1"/>
      </w:pPr>
      <w:r>
        <w:t>Implications of different variables</w:t>
      </w:r>
    </w:p>
    <w:p w:rsidR="00A74701" w:rsidRDefault="00A74701" w:rsidP="00A74701">
      <w:pPr>
        <w:pStyle w:val="Heading2"/>
      </w:pPr>
      <w:r>
        <w:t>DV: difficulty of reaching agreement</w:t>
      </w:r>
    </w:p>
    <w:p w:rsidR="00A74701" w:rsidRDefault="00A74701" w:rsidP="00A74701">
      <w:pPr>
        <w:pStyle w:val="Heading3"/>
      </w:pPr>
      <w:r>
        <w:t>Benign/malign distinction</w:t>
      </w:r>
    </w:p>
    <w:p w:rsidR="00A74701" w:rsidRDefault="00A74701" w:rsidP="00A74701">
      <w:pPr>
        <w:pStyle w:val="Heading3"/>
      </w:pPr>
      <w:r>
        <w:t>How we “measure” (“proxy” or “indicator” of) the DV – how long it will take to reach agreement</w:t>
      </w:r>
    </w:p>
    <w:p w:rsidR="00A74701" w:rsidRDefault="00A74701" w:rsidP="00A74701">
      <w:pPr>
        <w:pStyle w:val="Heading2"/>
      </w:pPr>
      <w:r>
        <w:t>IVs</w:t>
      </w:r>
    </w:p>
    <w:p w:rsidR="00794FE0" w:rsidRPr="00261CB4" w:rsidRDefault="00C8667B" w:rsidP="00261CB4">
      <w:pPr>
        <w:pStyle w:val="Heading3"/>
      </w:pPr>
      <w:r>
        <w:t xml:space="preserve">Eight questions </w:t>
      </w:r>
      <w:r w:rsidR="00A977A7" w:rsidRPr="00261CB4">
        <w:t>as ways of distinguishing problem structure</w:t>
      </w:r>
    </w:p>
    <w:p w:rsidR="00A74701" w:rsidRDefault="00E816E5" w:rsidP="00261CB4">
      <w:pPr>
        <w:pStyle w:val="Heading3"/>
      </w:pPr>
      <w:r>
        <w:t>Focus particularly on p</w:t>
      </w:r>
      <w:r w:rsidR="00A74701">
        <w:t>roblem type</w:t>
      </w:r>
      <w:r>
        <w:t>s</w:t>
      </w:r>
      <w:r w:rsidR="00A74701">
        <w:t>: deadlock, PEPI, up/downstream, collaboration, coordination, knowledge, normative</w:t>
      </w:r>
    </w:p>
    <w:p w:rsidR="00A74701" w:rsidRDefault="00A74701" w:rsidP="00A74701">
      <w:pPr>
        <w:pStyle w:val="Heading3"/>
      </w:pPr>
      <w:r>
        <w:t>Inherent transparency</w:t>
      </w:r>
      <w:r w:rsidR="00F52B81">
        <w:t xml:space="preserve">; </w:t>
      </w:r>
      <w:r w:rsidR="00960840">
        <w:t>Response incentives</w:t>
      </w:r>
      <w:r w:rsidR="00E816E5">
        <w:t xml:space="preserve"> and violation tolerance  </w:t>
      </w:r>
    </w:p>
    <w:p w:rsidR="00960840" w:rsidRDefault="00960840" w:rsidP="00960840">
      <w:pPr>
        <w:pStyle w:val="Heading2"/>
      </w:pPr>
      <w:r>
        <w:t>Hypotheses</w:t>
      </w:r>
    </w:p>
    <w:p w:rsidR="007E1786" w:rsidRDefault="007E1786" w:rsidP="007E1786">
      <w:pPr>
        <w:pStyle w:val="Heading3"/>
      </w:pPr>
      <w:r>
        <w:t>Hypotheses on main questions (from hardest to negotiate to easiest to negotiate)</w:t>
      </w:r>
    </w:p>
    <w:p w:rsidR="007E1786" w:rsidRDefault="007E1786" w:rsidP="007E1786">
      <w:pPr>
        <w:pStyle w:val="Heading4"/>
      </w:pPr>
      <w:r>
        <w:t>Deadlock –impossible to get resolution because no states see resolution as</w:t>
      </w:r>
      <w:r w:rsidR="00F52B81">
        <w:t xml:space="preserve"> better than continued conflict; requires outsider to change incentives of “players”</w:t>
      </w:r>
    </w:p>
    <w:p w:rsidR="007E1786" w:rsidRDefault="007E1786" w:rsidP="007E1786">
      <w:pPr>
        <w:pStyle w:val="Heading4"/>
      </w:pPr>
      <w:r>
        <w:t>Upstream/downstream problems: engagement problems -- getting upstream state to join</w:t>
      </w:r>
    </w:p>
    <w:p w:rsidR="007E1786" w:rsidRDefault="007E1786" w:rsidP="007E1786">
      <w:pPr>
        <w:pStyle w:val="Heading4"/>
      </w:pPr>
      <w:r>
        <w:t>Normative problems: engagement problems as well -- getting states one wants to influence to join</w:t>
      </w:r>
    </w:p>
    <w:p w:rsidR="007E1786" w:rsidRDefault="007E1786" w:rsidP="007E1786">
      <w:pPr>
        <w:pStyle w:val="Heading4"/>
      </w:pPr>
      <w:r>
        <w:t>Collaboration problems: distribution AND enforcement problems -- deciding who must adjust AND how to reassure and ensure compliance. Compared to up/down: in collaboration cases, both/all sides have incentives for action but in upstream/downstream, only downstream has incentives</w:t>
      </w:r>
    </w:p>
    <w:p w:rsidR="007E1786" w:rsidRDefault="007E1786" w:rsidP="007E1786">
      <w:pPr>
        <w:pStyle w:val="Heading4"/>
      </w:pPr>
      <w:r>
        <w:t>Positive externalities plagued by incapacity: engaging capable states and convincing that benefits of assistance outweigh costs</w:t>
      </w:r>
    </w:p>
    <w:p w:rsidR="007E1786" w:rsidRDefault="007E1786" w:rsidP="007E1786">
      <w:pPr>
        <w:pStyle w:val="Heading4"/>
      </w:pPr>
      <w:r>
        <w:t xml:space="preserve">Coordination problems: can involve hard distribution problems -- deciding who must adjust and pay the costs of adjusting. Compared to collaboration – reasoning: no need to create monitoring OR enforcement provisions. </w:t>
      </w:r>
    </w:p>
    <w:p w:rsidR="007E1786" w:rsidRDefault="007E1786" w:rsidP="007E1786">
      <w:pPr>
        <w:pStyle w:val="Heading4"/>
      </w:pPr>
      <w:r>
        <w:t>Epistemic problems: coordinating and</w:t>
      </w:r>
      <w:r w:rsidR="00762868">
        <w:t xml:space="preserve"> standardizing research efforts. Reasoning: low cost, no requirement </w:t>
      </w:r>
      <w:r w:rsidR="00B2784D">
        <w:t>to take action.</w:t>
      </w:r>
    </w:p>
    <w:p w:rsidR="00960840" w:rsidRDefault="00960840" w:rsidP="00960840">
      <w:pPr>
        <w:pStyle w:val="Heading3"/>
      </w:pPr>
      <w:r>
        <w:t xml:space="preserve">Problems with </w:t>
      </w:r>
      <w:r>
        <w:rPr>
          <w:b/>
          <w:i/>
          <w:u w:val="single"/>
        </w:rPr>
        <w:t xml:space="preserve">low </w:t>
      </w:r>
      <w:r>
        <w:t>violation tolerance will be EASIER to resolve than those with high – reasoning: stronger incentives to address the problem by those who might be harmed</w:t>
      </w:r>
    </w:p>
    <w:p w:rsidR="00960840" w:rsidRDefault="00960840" w:rsidP="00960840">
      <w:pPr>
        <w:pStyle w:val="Heading3"/>
      </w:pPr>
      <w:r>
        <w:t xml:space="preserve">Problems with </w:t>
      </w:r>
      <w:r>
        <w:rPr>
          <w:b/>
          <w:i/>
          <w:u w:val="single"/>
        </w:rPr>
        <w:t xml:space="preserve">high </w:t>
      </w:r>
      <w:r>
        <w:t xml:space="preserve">inherent transparency will be EASIER to resolve than those with low inherent transparency – reasoning: the major problem of </w:t>
      </w:r>
      <w:r w:rsidR="008E169F">
        <w:t xml:space="preserve">monitoring/verification does not exist if there is </w:t>
      </w:r>
      <w:proofErr w:type="gramStart"/>
      <w:r w:rsidR="008E169F">
        <w:t>high</w:t>
      </w:r>
      <w:proofErr w:type="gramEnd"/>
      <w:r w:rsidR="008E169F">
        <w:t xml:space="preserve"> transparency</w:t>
      </w:r>
    </w:p>
    <w:p w:rsidR="008E169F" w:rsidRDefault="008E169F" w:rsidP="008E169F">
      <w:pPr>
        <w:pStyle w:val="Heading3"/>
      </w:pPr>
      <w:r>
        <w:t xml:space="preserve">Problems with </w:t>
      </w:r>
      <w:r>
        <w:rPr>
          <w:b/>
          <w:i/>
          <w:u w:val="single"/>
        </w:rPr>
        <w:t xml:space="preserve">weak </w:t>
      </w:r>
      <w:r>
        <w:t xml:space="preserve">response incentives </w:t>
      </w:r>
      <w:r w:rsidR="00DD20AC">
        <w:t>– this one i</w:t>
      </w:r>
      <w:r w:rsidR="00E816E5">
        <w:t xml:space="preserve">s difficult to make predictions. Why? Because </w:t>
      </w:r>
      <w:r w:rsidR="00DD20AC">
        <w:t xml:space="preserve">weak incentives to respond may </w:t>
      </w:r>
      <w:r w:rsidR="00473DBC">
        <w:t xml:space="preserve">get those states that want to cheat </w:t>
      </w:r>
      <w:r w:rsidR="00DD20AC">
        <w:t xml:space="preserve">to sign </w:t>
      </w:r>
      <w:r w:rsidR="00473DBC">
        <w:t>(“</w:t>
      </w:r>
      <w:r w:rsidR="00DD20AC">
        <w:t>they don’t have to worry about sanctions</w:t>
      </w:r>
      <w:r w:rsidR="00473DBC">
        <w:t xml:space="preserve">”) </w:t>
      </w:r>
      <w:r w:rsidR="00DD20AC">
        <w:t>BUT strong incentives to respond reassure those who want to action that something will actually get done</w:t>
      </w:r>
      <w:r w:rsidR="00A76D54">
        <w:t xml:space="preserve">.  </w:t>
      </w:r>
      <w:r w:rsidR="00473DBC">
        <w:t xml:space="preserve">Major factor may be </w:t>
      </w:r>
      <w:r w:rsidR="00A76D54">
        <w:t>“motivation to take action” – if strong motivation for action, then strong response incentives will make it easier to resolve.</w:t>
      </w:r>
    </w:p>
    <w:p w:rsidR="00A74701" w:rsidRDefault="00A74701" w:rsidP="00A74701">
      <w:pPr>
        <w:pStyle w:val="Heading1"/>
      </w:pPr>
      <w:r>
        <w:t>Human Rights and Environment</w:t>
      </w:r>
    </w:p>
    <w:p w:rsidR="00B66B3F" w:rsidRDefault="00421346" w:rsidP="00B66B3F">
      <w:pPr>
        <w:pStyle w:val="Heading2"/>
      </w:pPr>
      <w:r>
        <w:t xml:space="preserve">Same task as previous </w:t>
      </w:r>
      <w:r w:rsidR="00B66B3F">
        <w:t>class</w:t>
      </w:r>
      <w:r>
        <w:t>es</w:t>
      </w:r>
      <w:r w:rsidR="00B66B3F">
        <w:t xml:space="preserve"> –</w:t>
      </w:r>
      <w:r>
        <w:t xml:space="preserve"> </w:t>
      </w:r>
      <w:r w:rsidR="00B66B3F">
        <w:t>sort</w:t>
      </w:r>
      <w:r>
        <w:t>ing</w:t>
      </w:r>
      <w:r w:rsidR="00B66B3F">
        <w:t xml:space="preserve"> real-world problems into </w:t>
      </w:r>
      <w:r w:rsidR="00000E0E">
        <w:t>theoretical categories.</w:t>
      </w:r>
    </w:p>
    <w:p w:rsidR="00000E0E" w:rsidRDefault="00000E0E" w:rsidP="00B66B3F">
      <w:pPr>
        <w:pStyle w:val="Heading2"/>
      </w:pPr>
      <w:r>
        <w:t>Focus on RELATIVE assessment of problem structure, NOT absolute assessment.</w:t>
      </w:r>
    </w:p>
    <w:p w:rsidR="007F01BA" w:rsidRPr="007F01BA" w:rsidRDefault="007F01BA" w:rsidP="007F01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F01BA" w:rsidRPr="00225CCA" w:rsidTr="000B45F9">
        <w:tc>
          <w:tcPr>
            <w:tcW w:w="3192" w:type="dxa"/>
          </w:tcPr>
          <w:p w:rsidR="007F01BA" w:rsidRPr="00225CCA" w:rsidRDefault="007F01BA" w:rsidP="000B45F9">
            <w:pPr>
              <w:pStyle w:val="Tablerow"/>
            </w:pPr>
          </w:p>
        </w:tc>
        <w:tc>
          <w:tcPr>
            <w:tcW w:w="3192" w:type="dxa"/>
          </w:tcPr>
          <w:p w:rsidR="007F01BA" w:rsidRDefault="007F01BA" w:rsidP="000B45F9">
            <w:pPr>
              <w:pStyle w:val="Tablecolumn"/>
            </w:pPr>
            <w:r>
              <w:t>Human Rights</w:t>
            </w:r>
          </w:p>
          <w:p w:rsidR="00C67704" w:rsidRPr="00225CCA" w:rsidRDefault="00C67704" w:rsidP="000B45F9">
            <w:pPr>
              <w:pStyle w:val="Tablecolumn"/>
            </w:pPr>
            <w:r>
              <w:t>Civil/Political, Econ/</w:t>
            </w:r>
            <w:proofErr w:type="spellStart"/>
            <w:r>
              <w:t>Soc</w:t>
            </w:r>
            <w:proofErr w:type="spellEnd"/>
            <w:r>
              <w:t>, Health</w:t>
            </w:r>
          </w:p>
        </w:tc>
        <w:tc>
          <w:tcPr>
            <w:tcW w:w="3192" w:type="dxa"/>
          </w:tcPr>
          <w:p w:rsidR="007F01BA" w:rsidRPr="00225CCA" w:rsidRDefault="007F01BA" w:rsidP="000B45F9">
            <w:pPr>
              <w:pStyle w:val="Tablecolumn"/>
            </w:pPr>
            <w:r>
              <w:t>Environment</w:t>
            </w:r>
          </w:p>
        </w:tc>
      </w:tr>
      <w:tr w:rsidR="007F01BA" w:rsidRPr="00225CCA" w:rsidTr="000B45F9">
        <w:tc>
          <w:tcPr>
            <w:tcW w:w="3192" w:type="dxa"/>
          </w:tcPr>
          <w:p w:rsidR="007F01BA" w:rsidRPr="00225CCA" w:rsidRDefault="007F01BA" w:rsidP="000B45F9">
            <w:pPr>
              <w:pStyle w:val="Tablerow"/>
            </w:pPr>
            <w:r>
              <w:t xml:space="preserve">Q1: </w:t>
            </w:r>
            <w:r w:rsidRPr="00225CCA">
              <w:t>Conflict/harmony/cooperation</w:t>
            </w:r>
            <w:r>
              <w:t xml:space="preserve"> Do states see non-cooperation as suboptimal?</w:t>
            </w:r>
          </w:p>
        </w:tc>
        <w:tc>
          <w:tcPr>
            <w:tcW w:w="3192" w:type="dxa"/>
          </w:tcPr>
          <w:p w:rsidR="00261CB4" w:rsidRDefault="00A35694" w:rsidP="00261CB4">
            <w:pPr>
              <w:pStyle w:val="Tablecellleft"/>
            </w:pPr>
            <w:r>
              <w:t xml:space="preserve">Definition: </w:t>
            </w:r>
            <w:r w:rsidR="00261CB4">
              <w:t>B</w:t>
            </w:r>
            <w:r w:rsidR="00072D88">
              <w:t xml:space="preserve">ehaviors </w:t>
            </w:r>
            <w:r w:rsidR="00261CB4">
              <w:t>impose only NON-material costs on other countries and only some countries see these as suboptimal</w:t>
            </w:r>
          </w:p>
          <w:p w:rsidR="00A35694" w:rsidRDefault="00A35694" w:rsidP="00A35694">
            <w:pPr>
              <w:pStyle w:val="Tablecellleft"/>
            </w:pPr>
            <w:r>
              <w:t>Often deadlock because of difference of values</w:t>
            </w:r>
          </w:p>
          <w:p w:rsidR="007F01BA" w:rsidRPr="00225CCA" w:rsidRDefault="006F1B61" w:rsidP="00261CB4">
            <w:pPr>
              <w:pStyle w:val="Tablecellleft"/>
            </w:pPr>
            <w:r>
              <w:t>Rarely an important priority</w:t>
            </w:r>
          </w:p>
        </w:tc>
        <w:tc>
          <w:tcPr>
            <w:tcW w:w="3192" w:type="dxa"/>
          </w:tcPr>
          <w:p w:rsidR="007F01BA" w:rsidRDefault="00072D88" w:rsidP="000B45F9">
            <w:pPr>
              <w:pStyle w:val="Tablecellleft"/>
            </w:pPr>
            <w:r>
              <w:t>Some cases, all countries see outcomes as suboptimal</w:t>
            </w:r>
          </w:p>
          <w:p w:rsidR="00072D88" w:rsidRDefault="00072D88" w:rsidP="000B45F9">
            <w:pPr>
              <w:pStyle w:val="Tablecellleft"/>
            </w:pPr>
            <w:r>
              <w:t>Other cases, only some see as suboptimal</w:t>
            </w:r>
          </w:p>
          <w:p w:rsidR="006F1B61" w:rsidRPr="00225CCA" w:rsidRDefault="006F1B61" w:rsidP="006F1B61">
            <w:pPr>
              <w:pStyle w:val="Tablecellleft"/>
            </w:pPr>
            <w:r>
              <w:t>Rarely is it an important priority</w:t>
            </w:r>
          </w:p>
        </w:tc>
      </w:tr>
      <w:tr w:rsidR="007F01BA" w:rsidRPr="00225CCA" w:rsidTr="000B45F9">
        <w:tc>
          <w:tcPr>
            <w:tcW w:w="3192" w:type="dxa"/>
          </w:tcPr>
          <w:p w:rsidR="007F01BA" w:rsidRPr="00225CCA" w:rsidRDefault="007F01BA" w:rsidP="000B45F9">
            <w:pPr>
              <w:pStyle w:val="Tablerow"/>
            </w:pPr>
            <w:r>
              <w:t xml:space="preserve">Q2: </w:t>
            </w:r>
            <w:r w:rsidRPr="00225CCA">
              <w:t>Actors</w:t>
            </w:r>
          </w:p>
        </w:tc>
        <w:tc>
          <w:tcPr>
            <w:tcW w:w="3192" w:type="dxa"/>
          </w:tcPr>
          <w:p w:rsidR="007F01BA" w:rsidRDefault="00F64091" w:rsidP="000B45F9">
            <w:pPr>
              <w:pStyle w:val="Tablecellleft"/>
            </w:pPr>
            <w:r>
              <w:t xml:space="preserve">Normative agenda so ALL countries </w:t>
            </w:r>
            <w:r>
              <w:lastRenderedPageBreak/>
              <w:t>implicated</w:t>
            </w:r>
          </w:p>
          <w:p w:rsidR="002B6746" w:rsidRPr="00225CCA" w:rsidRDefault="002B6746" w:rsidP="000B45F9">
            <w:pPr>
              <w:pStyle w:val="Tablecellleft"/>
            </w:pPr>
            <w:r>
              <w:t>For some rights, non-governmental actors are responsible (e.g., FGM)</w:t>
            </w:r>
          </w:p>
        </w:tc>
        <w:tc>
          <w:tcPr>
            <w:tcW w:w="3192" w:type="dxa"/>
          </w:tcPr>
          <w:p w:rsidR="002D1951" w:rsidRPr="002D1951" w:rsidRDefault="002D1951" w:rsidP="002D1951">
            <w:pPr>
              <w:pStyle w:val="Tablecellleft"/>
            </w:pPr>
            <w:r w:rsidRPr="002D1951">
              <w:lastRenderedPageBreak/>
              <w:t xml:space="preserve">Problems vary: regional, global, </w:t>
            </w:r>
            <w:r w:rsidRPr="002D1951">
              <w:lastRenderedPageBreak/>
              <w:t>Antarctic and fisheries (different # of “players” in different problems)</w:t>
            </w:r>
          </w:p>
          <w:p w:rsidR="00F83A3F" w:rsidRPr="002F2DD3" w:rsidRDefault="002D1951" w:rsidP="002D1951">
            <w:pPr>
              <w:pStyle w:val="Tablecellleft"/>
            </w:pPr>
            <w:proofErr w:type="spellStart"/>
            <w:r w:rsidRPr="002D1951">
              <w:t>Govts</w:t>
            </w:r>
            <w:proofErr w:type="spellEnd"/>
            <w:r w:rsidRPr="002D1951">
              <w:t xml:space="preserve"> often not the culprits</w:t>
            </w:r>
          </w:p>
        </w:tc>
      </w:tr>
      <w:tr w:rsidR="007F01BA" w:rsidRPr="00225CCA" w:rsidTr="000B45F9">
        <w:tc>
          <w:tcPr>
            <w:tcW w:w="3192" w:type="dxa"/>
          </w:tcPr>
          <w:p w:rsidR="007F01BA" w:rsidRPr="00225CCA" w:rsidRDefault="007F01BA" w:rsidP="000B45F9">
            <w:pPr>
              <w:pStyle w:val="Tablerow"/>
            </w:pPr>
            <w:r>
              <w:lastRenderedPageBreak/>
              <w:t xml:space="preserve">Q3: </w:t>
            </w:r>
            <w:bookmarkStart w:id="0" w:name="_GoBack"/>
            <w:bookmarkEnd w:id="0"/>
            <w:r w:rsidRPr="00225CCA">
              <w:t>Capacities/power</w:t>
            </w:r>
          </w:p>
        </w:tc>
        <w:tc>
          <w:tcPr>
            <w:tcW w:w="3192" w:type="dxa"/>
          </w:tcPr>
          <w:p w:rsidR="00920943" w:rsidRDefault="000067CD" w:rsidP="000B45F9">
            <w:pPr>
              <w:pStyle w:val="Tablecellleft"/>
            </w:pPr>
            <w:r>
              <w:t>Econ/social rights</w:t>
            </w:r>
            <w:r w:rsidR="00F12989">
              <w:t xml:space="preserve"> AND Health</w:t>
            </w:r>
            <w:r>
              <w:t>: NOT all countries can provide</w:t>
            </w:r>
            <w:r w:rsidR="00F12989">
              <w:t xml:space="preserve"> </w:t>
            </w:r>
          </w:p>
          <w:p w:rsidR="0089671C" w:rsidRDefault="000067CD" w:rsidP="00A56E5F">
            <w:pPr>
              <w:pStyle w:val="Title"/>
            </w:pPr>
            <w:r>
              <w:t>Positive Externality Plagued by Incapacity</w:t>
            </w:r>
          </w:p>
          <w:p w:rsidR="001F0728" w:rsidRPr="001F0728" w:rsidRDefault="001F0728" w:rsidP="001F0728">
            <w:pPr>
              <w:pStyle w:val="Tablecellleft"/>
            </w:pPr>
            <w:r>
              <w:t>Powerful countries’ values wield more influence than weak countries’</w:t>
            </w:r>
          </w:p>
        </w:tc>
        <w:tc>
          <w:tcPr>
            <w:tcW w:w="3192" w:type="dxa"/>
          </w:tcPr>
          <w:p w:rsidR="00AD0FA1" w:rsidRDefault="00056B5A" w:rsidP="00056B5A">
            <w:pPr>
              <w:pStyle w:val="Tablecellleft"/>
            </w:pPr>
            <w:r>
              <w:t>Many problems, all countries are capable of engaging or not in problem</w:t>
            </w:r>
          </w:p>
          <w:p w:rsidR="00056B5A" w:rsidRPr="000829C1" w:rsidRDefault="00056B5A" w:rsidP="00056B5A">
            <w:pPr>
              <w:pStyle w:val="Tablecellleft"/>
            </w:pPr>
            <w:r>
              <w:t>For some problems, some countries cannot engage in problem</w:t>
            </w:r>
            <w:r w:rsidR="00B2770C">
              <w:t xml:space="preserve"> (e.g., nuclear pollution)</w:t>
            </w:r>
          </w:p>
        </w:tc>
      </w:tr>
      <w:tr w:rsidR="007F01BA" w:rsidRPr="00225CCA" w:rsidTr="000B45F9">
        <w:tc>
          <w:tcPr>
            <w:tcW w:w="3192" w:type="dxa"/>
          </w:tcPr>
          <w:p w:rsidR="007F01BA" w:rsidRPr="00225CCA" w:rsidRDefault="007F01BA" w:rsidP="000B45F9">
            <w:pPr>
              <w:pStyle w:val="Tablerow"/>
            </w:pPr>
            <w:r>
              <w:t xml:space="preserve">Q4: </w:t>
            </w:r>
            <w:r w:rsidRPr="00225CCA">
              <w:t>Incentives/preferences</w:t>
            </w:r>
          </w:p>
        </w:tc>
        <w:tc>
          <w:tcPr>
            <w:tcW w:w="3192" w:type="dxa"/>
          </w:tcPr>
          <w:p w:rsidR="007F01BA" w:rsidRDefault="001C1354" w:rsidP="001C1354">
            <w:pPr>
              <w:pStyle w:val="Tablecellleft"/>
            </w:pPr>
            <w:r>
              <w:t xml:space="preserve">Civil/political rights: </w:t>
            </w:r>
            <w:r w:rsidR="002B6746">
              <w:t xml:space="preserve">government </w:t>
            </w:r>
            <w:r>
              <w:t xml:space="preserve">incentives to violate to preserve order and </w:t>
            </w:r>
            <w:r w:rsidR="002B6746">
              <w:t xml:space="preserve">retain </w:t>
            </w:r>
            <w:r>
              <w:t>power</w:t>
            </w:r>
            <w:r w:rsidR="00580F3A">
              <w:t xml:space="preserve"> (all have capacity of restraint)</w:t>
            </w:r>
          </w:p>
          <w:p w:rsidR="00A56E5F" w:rsidRPr="00225CCA" w:rsidRDefault="00894EC3" w:rsidP="007D1682">
            <w:pPr>
              <w:pStyle w:val="Title"/>
            </w:pPr>
            <w:r>
              <w:t xml:space="preserve">Some similarities to </w:t>
            </w:r>
            <w:r w:rsidR="00A56E5F">
              <w:t>Upstream/downstream problem</w:t>
            </w:r>
            <w:r>
              <w:t xml:space="preserve"> but </w:t>
            </w:r>
            <w:r w:rsidR="007D1682">
              <w:t xml:space="preserve">still better thought of </w:t>
            </w:r>
            <w:r>
              <w:t>a</w:t>
            </w:r>
            <w:r w:rsidR="007D1682">
              <w:t>s</w:t>
            </w:r>
            <w:r>
              <w:t xml:space="preserve"> </w:t>
            </w:r>
            <w:proofErr w:type="gramStart"/>
            <w:r>
              <w:t>Normative</w:t>
            </w:r>
            <w:proofErr w:type="gramEnd"/>
            <w:r>
              <w:t xml:space="preserve"> problem</w:t>
            </w:r>
          </w:p>
        </w:tc>
        <w:tc>
          <w:tcPr>
            <w:tcW w:w="3192" w:type="dxa"/>
          </w:tcPr>
          <w:p w:rsidR="00056B5A" w:rsidRDefault="00056B5A" w:rsidP="00056B5A">
            <w:pPr>
              <w:pStyle w:val="Tablecellleft"/>
            </w:pPr>
            <w:r>
              <w:t>River pollution and water use, acid rain</w:t>
            </w:r>
            <w:r w:rsidR="00580F3A">
              <w:t xml:space="preserve"> (all have capacity but perhaps not tech of restraint)</w:t>
            </w:r>
          </w:p>
          <w:p w:rsidR="00056B5A" w:rsidRDefault="00056B5A" w:rsidP="00056B5A">
            <w:pPr>
              <w:pStyle w:val="Title"/>
            </w:pPr>
            <w:r>
              <w:t>Upstream/downstream problem</w:t>
            </w:r>
          </w:p>
          <w:p w:rsidR="00580F3A" w:rsidRDefault="00056B5A" w:rsidP="00580F3A">
            <w:pPr>
              <w:pStyle w:val="Tablecellleft"/>
            </w:pPr>
            <w:r>
              <w:t>Overfishing, agreed-upon pollution problems, climate change, biodiversity loss</w:t>
            </w:r>
            <w:r w:rsidR="00580F3A">
              <w:t>(all have capacity but perhaps not tech of restraint)</w:t>
            </w:r>
          </w:p>
          <w:p w:rsidR="007F01BA" w:rsidRPr="00225CCA" w:rsidRDefault="00056B5A" w:rsidP="00056B5A">
            <w:pPr>
              <w:pStyle w:val="Title"/>
            </w:pPr>
            <w:r>
              <w:t>Collaboration problem</w:t>
            </w:r>
          </w:p>
        </w:tc>
      </w:tr>
      <w:tr w:rsidR="007F01BA" w:rsidRPr="00225CCA" w:rsidTr="000B45F9">
        <w:tc>
          <w:tcPr>
            <w:tcW w:w="3192" w:type="dxa"/>
          </w:tcPr>
          <w:p w:rsidR="007F01BA" w:rsidRPr="00225CCA" w:rsidRDefault="007F01BA" w:rsidP="000B45F9">
            <w:pPr>
              <w:pStyle w:val="Tablerow"/>
            </w:pPr>
            <w:r>
              <w:t xml:space="preserve">Q5: </w:t>
            </w:r>
            <w:r w:rsidRPr="00225CCA">
              <w:t>Information/knowledge</w:t>
            </w:r>
          </w:p>
        </w:tc>
        <w:tc>
          <w:tcPr>
            <w:tcW w:w="3192" w:type="dxa"/>
          </w:tcPr>
          <w:p w:rsidR="007F01BA" w:rsidRPr="00225CCA" w:rsidRDefault="001F0728" w:rsidP="000B45F9">
            <w:pPr>
              <w:pStyle w:val="Tablecellleft"/>
            </w:pPr>
            <w:r>
              <w:t>“Knowledge” plays little role</w:t>
            </w:r>
          </w:p>
        </w:tc>
        <w:tc>
          <w:tcPr>
            <w:tcW w:w="3192" w:type="dxa"/>
          </w:tcPr>
          <w:p w:rsidR="00153A81" w:rsidRDefault="00153A81" w:rsidP="00D6358D">
            <w:pPr>
              <w:pStyle w:val="Tablecellleft"/>
            </w:pPr>
            <w:r>
              <w:t>Some problems well understood scientifically, others not</w:t>
            </w:r>
          </w:p>
          <w:p w:rsidR="007F01BA" w:rsidRPr="00225CCA" w:rsidRDefault="00072D88" w:rsidP="00D6358D">
            <w:pPr>
              <w:pStyle w:val="Tablecellleft"/>
            </w:pPr>
            <w:r>
              <w:t xml:space="preserve">Often, knowledge of problem develops over time – </w:t>
            </w:r>
            <w:r w:rsidR="00901FCB">
              <w:t xml:space="preserve">new knowledge </w:t>
            </w:r>
            <w:r w:rsidR="00D6358D" w:rsidRPr="006F1B61">
              <w:rPr>
                <w:rStyle w:val="RunInHeader"/>
              </w:rPr>
              <w:t>may</w:t>
            </w:r>
            <w:r w:rsidR="00D6358D">
              <w:t xml:space="preserve"> </w:t>
            </w:r>
            <w:r>
              <w:t>change “game” from Tragedy of the Commons to harmony</w:t>
            </w:r>
          </w:p>
        </w:tc>
      </w:tr>
      <w:tr w:rsidR="007F01BA" w:rsidRPr="00225CCA" w:rsidTr="000B45F9">
        <w:tc>
          <w:tcPr>
            <w:tcW w:w="3192" w:type="dxa"/>
          </w:tcPr>
          <w:p w:rsidR="007F01BA" w:rsidRPr="00225CCA" w:rsidRDefault="007F01BA" w:rsidP="000B45F9">
            <w:pPr>
              <w:pStyle w:val="Tablerow"/>
            </w:pPr>
            <w:r>
              <w:t xml:space="preserve">Q6: </w:t>
            </w:r>
            <w:r w:rsidRPr="00225CCA">
              <w:t>Norms/values</w:t>
            </w:r>
          </w:p>
        </w:tc>
        <w:tc>
          <w:tcPr>
            <w:tcW w:w="3192" w:type="dxa"/>
          </w:tcPr>
          <w:p w:rsidR="007F01BA" w:rsidRDefault="001F0728" w:rsidP="001F0728">
            <w:pPr>
              <w:pStyle w:val="Tablecellleft"/>
            </w:pPr>
            <w:r>
              <w:t xml:space="preserve">“Values” and how those differ across </w:t>
            </w:r>
            <w:r w:rsidR="00C97D6F">
              <w:t xml:space="preserve">issues, </w:t>
            </w:r>
            <w:r>
              <w:t>cultures and time</w:t>
            </w:r>
          </w:p>
          <w:p w:rsidR="00C97D6F" w:rsidRDefault="00C97D6F" w:rsidP="001F0728">
            <w:pPr>
              <w:pStyle w:val="Tablecellleft"/>
            </w:pPr>
            <w:r>
              <w:t>Stronger norm against civ/pol violations than econ/</w:t>
            </w:r>
            <w:proofErr w:type="spellStart"/>
            <w:r>
              <w:t>soc</w:t>
            </w:r>
            <w:proofErr w:type="spellEnd"/>
          </w:p>
          <w:p w:rsidR="002362A0" w:rsidRDefault="002362A0" w:rsidP="002362A0">
            <w:pPr>
              <w:pStyle w:val="Tablecellleft"/>
            </w:pPr>
            <w:proofErr w:type="spellStart"/>
            <w:r>
              <w:t>Govts</w:t>
            </w:r>
            <w:proofErr w:type="spellEnd"/>
            <w:r>
              <w:t xml:space="preserve"> have normative “right” to preserve order but debate over what means can be used</w:t>
            </w:r>
          </w:p>
          <w:p w:rsidR="00C97D6F" w:rsidRPr="00225CCA" w:rsidRDefault="00C97D6F" w:rsidP="002362A0">
            <w:pPr>
              <w:pStyle w:val="Tablecellleft"/>
            </w:pPr>
            <w:r>
              <w:t>General norm of HR growing over time</w:t>
            </w:r>
          </w:p>
        </w:tc>
        <w:tc>
          <w:tcPr>
            <w:tcW w:w="3192" w:type="dxa"/>
          </w:tcPr>
          <w:p w:rsidR="007F01BA" w:rsidRDefault="006F1B61" w:rsidP="006F1B61">
            <w:pPr>
              <w:pStyle w:val="Tablecellleft"/>
            </w:pPr>
            <w:r>
              <w:t>Some areas where norms apply: shouldn’t harm other’s lands, “common heritage”</w:t>
            </w:r>
          </w:p>
          <w:p w:rsidR="00153A81" w:rsidRPr="00225CCA" w:rsidRDefault="00A977A7" w:rsidP="006F1B61">
            <w:pPr>
              <w:pStyle w:val="Tablecellleft"/>
            </w:pPr>
            <w:r w:rsidRPr="002D1951">
              <w:t>General norm of environmental protection vs. economy growth</w:t>
            </w:r>
          </w:p>
        </w:tc>
      </w:tr>
      <w:tr w:rsidR="007F01BA" w:rsidRPr="00225CCA" w:rsidTr="000B45F9">
        <w:tc>
          <w:tcPr>
            <w:tcW w:w="3192" w:type="dxa"/>
          </w:tcPr>
          <w:p w:rsidR="007F01BA" w:rsidRPr="00225CCA" w:rsidRDefault="000F50B8" w:rsidP="00C410BE">
            <w:pPr>
              <w:pStyle w:val="Tablerow"/>
            </w:pPr>
            <w:r>
              <w:t>Q</w:t>
            </w:r>
            <w:r w:rsidR="00C410BE">
              <w:t>7</w:t>
            </w:r>
            <w:r>
              <w:t xml:space="preserve">: </w:t>
            </w:r>
            <w:r w:rsidR="007F01BA" w:rsidRPr="00225CCA">
              <w:t>Transparency/ability to cheat</w:t>
            </w:r>
          </w:p>
        </w:tc>
        <w:tc>
          <w:tcPr>
            <w:tcW w:w="3192" w:type="dxa"/>
          </w:tcPr>
          <w:p w:rsidR="002D1951" w:rsidRPr="002D1951" w:rsidRDefault="002D1951" w:rsidP="002D1951">
            <w:pPr>
              <w:pStyle w:val="Tablecellleft"/>
            </w:pPr>
            <w:r w:rsidRPr="002D1951">
              <w:t>Econ/social relatively transparent and low incentives to keep secret because of weak norms</w:t>
            </w:r>
          </w:p>
          <w:p w:rsidR="005B1490" w:rsidRPr="00225CCA" w:rsidRDefault="002D1951" w:rsidP="002D1951">
            <w:pPr>
              <w:pStyle w:val="Tablecellleft"/>
            </w:pPr>
            <w:r w:rsidRPr="002D1951">
              <w:t>Civil/political easier to keep secret from other governments but individuals/NGOs can get information out</w:t>
            </w:r>
          </w:p>
        </w:tc>
        <w:tc>
          <w:tcPr>
            <w:tcW w:w="3192" w:type="dxa"/>
          </w:tcPr>
          <w:p w:rsidR="007F01BA" w:rsidRDefault="006F1B61" w:rsidP="006F1B61">
            <w:pPr>
              <w:pStyle w:val="Tablecellleft"/>
            </w:pPr>
            <w:r>
              <w:t>Depends on problem: some pollution can be done without trace while others cannot (chemical vs. oil ocean pollution)</w:t>
            </w:r>
          </w:p>
          <w:p w:rsidR="006F1B61" w:rsidRPr="00225CCA" w:rsidRDefault="006F1B61" w:rsidP="006F1B61">
            <w:pPr>
              <w:pStyle w:val="Tablecellleft"/>
            </w:pPr>
            <w:r>
              <w:t>Even “</w:t>
            </w:r>
            <w:proofErr w:type="spellStart"/>
            <w:r>
              <w:t>hideable</w:t>
            </w:r>
            <w:proofErr w:type="spellEnd"/>
            <w:r>
              <w:t xml:space="preserve">” acts can often be inferred (must sell fish, </w:t>
            </w:r>
            <w:r w:rsidR="00613C10" w:rsidRPr="00613C10">
              <w:t xml:space="preserve">sealskins, </w:t>
            </w:r>
            <w:r>
              <w:t>GHG and pollutant emissions reflect fuel use)</w:t>
            </w:r>
          </w:p>
        </w:tc>
      </w:tr>
      <w:tr w:rsidR="007F01BA" w:rsidRPr="00225CCA" w:rsidTr="000B45F9">
        <w:tc>
          <w:tcPr>
            <w:tcW w:w="3192" w:type="dxa"/>
          </w:tcPr>
          <w:p w:rsidR="007F01BA" w:rsidRPr="00225CCA" w:rsidRDefault="00C410BE" w:rsidP="000B45F9">
            <w:pPr>
              <w:pStyle w:val="Tablerow"/>
            </w:pPr>
            <w:r>
              <w:t>Q8</w:t>
            </w:r>
            <w:r w:rsidR="000F50B8">
              <w:t xml:space="preserve">: </w:t>
            </w:r>
            <w:r w:rsidR="007F01BA" w:rsidRPr="00225CCA">
              <w:t>Response incentives</w:t>
            </w:r>
          </w:p>
        </w:tc>
        <w:tc>
          <w:tcPr>
            <w:tcW w:w="3192" w:type="dxa"/>
          </w:tcPr>
          <w:p w:rsidR="00262364" w:rsidRDefault="00262364" w:rsidP="00C46A2E">
            <w:pPr>
              <w:pStyle w:val="Tablecellleft"/>
            </w:pPr>
            <w:r>
              <w:t>Low priority so low incentives to respond</w:t>
            </w:r>
          </w:p>
          <w:p w:rsidR="00C410BE" w:rsidRDefault="00C410BE" w:rsidP="00C410BE">
            <w:pPr>
              <w:pStyle w:val="Tablecellleft"/>
            </w:pPr>
            <w:r>
              <w:t>Genocide: very low tolerance</w:t>
            </w:r>
          </w:p>
          <w:p w:rsidR="00C410BE" w:rsidRDefault="00C410BE" w:rsidP="00C410BE">
            <w:pPr>
              <w:pStyle w:val="Tablecellleft"/>
            </w:pPr>
            <w:r>
              <w:t>Major civil/political violations: pretty low tolerance</w:t>
            </w:r>
          </w:p>
          <w:p w:rsidR="00C410BE" w:rsidRDefault="00C410BE" w:rsidP="00C410BE">
            <w:pPr>
              <w:pStyle w:val="Tablecellleft"/>
            </w:pPr>
            <w:r>
              <w:t xml:space="preserve">Econ/social violations: very high tolerance </w:t>
            </w:r>
          </w:p>
          <w:p w:rsidR="007F01BA" w:rsidRDefault="00C46A2E" w:rsidP="00C46A2E">
            <w:pPr>
              <w:pStyle w:val="Tablecellleft"/>
            </w:pPr>
            <w:r>
              <w:t>Rarely seen as warranting military response</w:t>
            </w:r>
          </w:p>
          <w:p w:rsidR="00C46A2E" w:rsidRDefault="00C46A2E" w:rsidP="005339C9">
            <w:pPr>
              <w:pStyle w:val="Tablecellleft"/>
            </w:pPr>
            <w:r>
              <w:t xml:space="preserve">Economic response raises concerns about effectiveness </w:t>
            </w:r>
            <w:r w:rsidR="005339C9">
              <w:t>and that others may not join in sanctions</w:t>
            </w:r>
          </w:p>
          <w:p w:rsidR="00C410BE" w:rsidRPr="00225CCA" w:rsidRDefault="00C410BE" w:rsidP="005339C9">
            <w:pPr>
              <w:pStyle w:val="Tablecellleft"/>
            </w:pPr>
            <w:r>
              <w:t>Reciprocity won’t work</w:t>
            </w:r>
          </w:p>
        </w:tc>
        <w:tc>
          <w:tcPr>
            <w:tcW w:w="3192" w:type="dxa"/>
          </w:tcPr>
          <w:p w:rsidR="00262364" w:rsidRDefault="00262364" w:rsidP="00262364">
            <w:pPr>
              <w:pStyle w:val="Tablecellleft"/>
            </w:pPr>
            <w:r>
              <w:t>Low priority so low incentives to respond</w:t>
            </w:r>
          </w:p>
          <w:p w:rsidR="007F01BA" w:rsidRDefault="005D7E8E" w:rsidP="000B45F9">
            <w:pPr>
              <w:pStyle w:val="Tablecellleft"/>
            </w:pPr>
            <w:r>
              <w:t>Rarely seen as warranting any response</w:t>
            </w:r>
          </w:p>
          <w:p w:rsidR="00C410BE" w:rsidRDefault="00C410BE" w:rsidP="00C410BE">
            <w:pPr>
              <w:pStyle w:val="Tablecellleft"/>
            </w:pPr>
            <w:r>
              <w:t>Generally, very high tolerance</w:t>
            </w:r>
          </w:p>
          <w:p w:rsidR="00C410BE" w:rsidRDefault="00C410BE" w:rsidP="00C410BE">
            <w:pPr>
              <w:pStyle w:val="Tablecellleft"/>
            </w:pPr>
            <w:r>
              <w:t>Violation tolerance depends on how immediate and large economic costs are (overfishing are high, pollution usually lower)</w:t>
            </w:r>
          </w:p>
          <w:p w:rsidR="00C410BE" w:rsidRDefault="00C410BE" w:rsidP="00C410BE">
            <w:pPr>
              <w:pStyle w:val="Tablecellleft"/>
            </w:pPr>
            <w:r>
              <w:t>Reciprocity won’t work</w:t>
            </w:r>
          </w:p>
          <w:p w:rsidR="00C410BE" w:rsidRPr="00225CCA" w:rsidRDefault="00C410BE" w:rsidP="000B45F9">
            <w:pPr>
              <w:pStyle w:val="Tablecellleft"/>
            </w:pPr>
          </w:p>
        </w:tc>
      </w:tr>
    </w:tbl>
    <w:p w:rsidR="007F01BA" w:rsidRDefault="007F01BA" w:rsidP="007F01BA"/>
    <w:p w:rsidR="007F01BA" w:rsidRDefault="007F01BA" w:rsidP="007F01BA">
      <w:pPr>
        <w:pStyle w:val="Heading1"/>
      </w:pPr>
      <w:r>
        <w:lastRenderedPageBreak/>
        <w:t xml:space="preserve">Theoretical implications / predictions: What do some of these differences in problem structure suggest </w:t>
      </w:r>
      <w:proofErr w:type="gramStart"/>
      <w:r>
        <w:t>for:</w:t>
      </w:r>
      <w:proofErr w:type="gramEnd"/>
    </w:p>
    <w:p w:rsidR="007F01BA" w:rsidRDefault="007F01BA" w:rsidP="007F01BA">
      <w:pPr>
        <w:pStyle w:val="Heading2"/>
      </w:pPr>
      <w:r>
        <w:t>How hard it is to negotiate international institution</w:t>
      </w:r>
    </w:p>
    <w:p w:rsidR="007F01BA" w:rsidRDefault="007F01BA" w:rsidP="007F01BA">
      <w:pPr>
        <w:pStyle w:val="Heading2"/>
      </w:pPr>
      <w:r>
        <w:t>What shape international institution will take and what kind of design it will have</w:t>
      </w:r>
    </w:p>
    <w:p w:rsidR="007F01BA" w:rsidRDefault="007F01BA" w:rsidP="007F01BA">
      <w:pPr>
        <w:pStyle w:val="Heading2"/>
      </w:pPr>
      <w:r>
        <w:t>How effective international institution will be</w:t>
      </w:r>
    </w:p>
    <w:p w:rsidR="00D52E62" w:rsidRDefault="00D52E62" w:rsidP="00D52E62">
      <w:pPr>
        <w:pStyle w:val="Heading1"/>
      </w:pPr>
      <w:r>
        <w:t>Conclusion</w:t>
      </w:r>
    </w:p>
    <w:p w:rsidR="00D52E62" w:rsidRDefault="00D52E62" w:rsidP="00D52E62">
      <w:pPr>
        <w:pStyle w:val="Heading2"/>
      </w:pPr>
      <w:r>
        <w:t>Identifying real-world variation in problem structure</w:t>
      </w:r>
    </w:p>
    <w:p w:rsidR="00D52E62" w:rsidRDefault="00D52E62" w:rsidP="00D52E62">
      <w:pPr>
        <w:pStyle w:val="Heading2"/>
      </w:pPr>
      <w:r>
        <w:t>Value of COMPARING problem structure of different issue areas in a relative way or on a relative scale. Much harder (</w:t>
      </w:r>
      <w:proofErr w:type="spellStart"/>
      <w:r>
        <w:t>ineed</w:t>
      </w:r>
      <w:proofErr w:type="spellEnd"/>
      <w:r>
        <w:t>, TOO hard) to assess problem structure in an absolute way or absolute scale.</w:t>
      </w:r>
    </w:p>
    <w:p w:rsidR="00D52E62" w:rsidRDefault="00D52E62" w:rsidP="00D52E62">
      <w:pPr>
        <w:pStyle w:val="Heading2"/>
      </w:pPr>
      <w:r>
        <w:t xml:space="preserve">Variation between human rights and environment BUT ALSO variation within each </w:t>
      </w:r>
    </w:p>
    <w:p w:rsidR="00D52E62" w:rsidRDefault="00D52E62" w:rsidP="00D52E62">
      <w:pPr>
        <w:pStyle w:val="Heading3"/>
      </w:pPr>
      <w:r>
        <w:t>Civil/political rights vs. economic/social rights</w:t>
      </w:r>
    </w:p>
    <w:p w:rsidR="00D52E62" w:rsidRDefault="00D52E62" w:rsidP="00D52E62">
      <w:pPr>
        <w:pStyle w:val="Heading3"/>
      </w:pPr>
      <w:r>
        <w:t>Upstream/downstream vs. Tragedy of the Commons problems</w:t>
      </w:r>
    </w:p>
    <w:p w:rsidR="00067648" w:rsidRDefault="00067648" w:rsidP="00FE7E19"/>
    <w:sectPr w:rsidR="00067648" w:rsidSect="00713D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51A" w:rsidRDefault="0078151A">
      <w:r>
        <w:separator/>
      </w:r>
    </w:p>
  </w:endnote>
  <w:endnote w:type="continuationSeparator" w:id="0">
    <w:p w:rsidR="0078151A" w:rsidRDefault="00781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F7B" w:rsidRDefault="00885F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F7B" w:rsidRDefault="00885F7B" w:rsidP="00885F7B">
    <w:pPr>
      <w:pStyle w:val="Footer"/>
      <w:ind w:firstLine="0"/>
    </w:pPr>
    <w:r>
      <w:t>© Ronald B. Mitchell, do not use without permission</w:t>
    </w:r>
  </w:p>
  <w:p w:rsidR="00983A7D" w:rsidRPr="00885F7B" w:rsidRDefault="00885F7B" w:rsidP="00885F7B">
    <w:pPr>
      <w:pStyle w:val="Footer"/>
      <w:ind w:firstLine="0"/>
    </w:pPr>
    <w:r>
      <w:t>http://rmitchel.uoregon.edu/io/lectures/</w:t>
    </w:r>
    <w:r w:rsidR="0078151A">
      <w:fldChar w:fldCharType="begin"/>
    </w:r>
    <w:r w:rsidR="0078151A">
      <w:instrText xml:space="preserve"> FILENAME   \* MERGEFORMAT </w:instrText>
    </w:r>
    <w:r w:rsidR="0078151A">
      <w:fldChar w:fldCharType="separate"/>
    </w:r>
    <w:r w:rsidR="00775BAB">
      <w:rPr>
        <w:noProof/>
      </w:rPr>
      <w:t>07-ProblemStructure-HumanRightsEnvironment.docx</w:t>
    </w:r>
    <w:r w:rsidR="0078151A">
      <w:rPr>
        <w:noProof/>
      </w:rP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F7B" w:rsidRDefault="00885F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51A" w:rsidRDefault="0078151A">
      <w:r>
        <w:separator/>
      </w:r>
    </w:p>
  </w:footnote>
  <w:footnote w:type="continuationSeparator" w:id="0">
    <w:p w:rsidR="0078151A" w:rsidRDefault="00781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F7B" w:rsidRDefault="00885F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F7B" w:rsidRDefault="00885F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F7B" w:rsidRDefault="00885F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3039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C5454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9231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A88F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80E00D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E2109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9E3D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044004"/>
    <w:lvl w:ilvl="0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</w:abstractNum>
  <w:abstractNum w:abstractNumId="8" w15:restartNumberingAfterBreak="0">
    <w:nsid w:val="FFFFFF88"/>
    <w:multiLevelType w:val="singleLevel"/>
    <w:tmpl w:val="7278F0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B4943C64"/>
    <w:lvl w:ilvl="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C540DCF8"/>
    <w:lvl w:ilvl="0">
      <w:start w:val="1"/>
      <w:numFmt w:val="upperRoman"/>
      <w:pStyle w:val="Heading1"/>
      <w:lvlText w:val="%1."/>
      <w:legacy w:legacy="1" w:legacySpace="0" w:legacyIndent="432"/>
      <w:lvlJc w:val="left"/>
      <w:pPr>
        <w:ind w:left="432" w:hanging="432"/>
      </w:pPr>
    </w:lvl>
    <w:lvl w:ilvl="1">
      <w:start w:val="1"/>
      <w:numFmt w:val="upperLetter"/>
      <w:pStyle w:val="Heading2"/>
      <w:lvlText w:val="%2."/>
      <w:legacy w:legacy="1" w:legacySpace="0" w:legacyIndent="432"/>
      <w:lvlJc w:val="left"/>
      <w:pPr>
        <w:ind w:left="864" w:hanging="432"/>
      </w:pPr>
    </w:lvl>
    <w:lvl w:ilvl="2">
      <w:start w:val="1"/>
      <w:numFmt w:val="decimal"/>
      <w:pStyle w:val="Heading3"/>
      <w:lvlText w:val="%3."/>
      <w:legacy w:legacy="1" w:legacySpace="0" w:legacyIndent="432"/>
      <w:lvlJc w:val="left"/>
      <w:pPr>
        <w:ind w:left="1296" w:hanging="432"/>
      </w:pPr>
    </w:lvl>
    <w:lvl w:ilvl="3">
      <w:start w:val="1"/>
      <w:numFmt w:val="lowerLetter"/>
      <w:pStyle w:val="Heading4"/>
      <w:lvlText w:val="%4)"/>
      <w:legacy w:legacy="1" w:legacySpace="0" w:legacyIndent="432"/>
      <w:lvlJc w:val="left"/>
      <w:pPr>
        <w:ind w:left="1728" w:hanging="432"/>
      </w:pPr>
    </w:lvl>
    <w:lvl w:ilvl="4">
      <w:start w:val="1"/>
      <w:numFmt w:val="decimal"/>
      <w:pStyle w:val="Heading5"/>
      <w:lvlText w:val="(%5)"/>
      <w:legacy w:legacy="1" w:legacySpace="0" w:legacyIndent="432"/>
      <w:lvlJc w:val="left"/>
      <w:pPr>
        <w:ind w:left="2160" w:hanging="432"/>
      </w:pPr>
    </w:lvl>
    <w:lvl w:ilvl="5">
      <w:start w:val="1"/>
      <w:numFmt w:val="lowerLetter"/>
      <w:pStyle w:val="Heading6"/>
      <w:lvlText w:val="(%6)"/>
      <w:legacy w:legacy="1" w:legacySpace="0" w:legacyIndent="432"/>
      <w:lvlJc w:val="left"/>
      <w:pPr>
        <w:ind w:left="2592" w:hanging="432"/>
      </w:pPr>
    </w:lvl>
    <w:lvl w:ilvl="6">
      <w:start w:val="1"/>
      <w:numFmt w:val="lowerRoman"/>
      <w:pStyle w:val="Heading7"/>
      <w:lvlText w:val="(%7)"/>
      <w:legacy w:legacy="1" w:legacySpace="0" w:legacyIndent="432"/>
      <w:lvlJc w:val="left"/>
      <w:pPr>
        <w:ind w:left="3024" w:hanging="432"/>
      </w:pPr>
    </w:lvl>
    <w:lvl w:ilvl="7">
      <w:start w:val="1"/>
      <w:numFmt w:val="lowerLetter"/>
      <w:pStyle w:val="Heading8"/>
      <w:lvlText w:val="(%8)"/>
      <w:legacy w:legacy="1" w:legacySpace="0" w:legacyIndent="432"/>
      <w:lvlJc w:val="left"/>
      <w:pPr>
        <w:ind w:left="3456" w:hanging="432"/>
      </w:pPr>
    </w:lvl>
    <w:lvl w:ilvl="8">
      <w:start w:val="1"/>
      <w:numFmt w:val="lowerRoman"/>
      <w:pStyle w:val="Heading9"/>
      <w:lvlText w:val="(%9)"/>
      <w:legacy w:legacy="1" w:legacySpace="0" w:legacyIndent="432"/>
      <w:lvlJc w:val="left"/>
      <w:pPr>
        <w:ind w:left="3888" w:hanging="432"/>
      </w:pPr>
    </w:lvl>
  </w:abstractNum>
  <w:abstractNum w:abstractNumId="11" w15:restartNumberingAfterBreak="0">
    <w:nsid w:val="13CE03F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042304A"/>
    <w:multiLevelType w:val="multilevel"/>
    <w:tmpl w:val="935224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  <w:sz w:val="24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EF3FD5"/>
    <w:multiLevelType w:val="hybridMultilevel"/>
    <w:tmpl w:val="3876837A"/>
    <w:lvl w:ilvl="0" w:tplc="7BA62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3CCF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305A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1EA4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AEA6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C29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707C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2A70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0689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F731BCF"/>
    <w:multiLevelType w:val="hybridMultilevel"/>
    <w:tmpl w:val="265C1B1A"/>
    <w:lvl w:ilvl="0" w:tplc="099E5EC0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56"/>
        </w:tabs>
        <w:ind w:left="7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76"/>
        </w:tabs>
        <w:ind w:left="7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96"/>
        </w:tabs>
        <w:ind w:left="8496" w:hanging="360"/>
      </w:pPr>
      <w:rPr>
        <w:rFonts w:ascii="Wingdings" w:hAnsi="Wingdings" w:hint="default"/>
      </w:rPr>
    </w:lvl>
  </w:abstractNum>
  <w:abstractNum w:abstractNumId="15" w15:restartNumberingAfterBreak="0">
    <w:nsid w:val="35A77995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44AC39EB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505F21F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51A61EC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60433EB8"/>
    <w:multiLevelType w:val="hybridMultilevel"/>
    <w:tmpl w:val="C6A8CF70"/>
    <w:lvl w:ilvl="0" w:tplc="7F4C2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C6A6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74FE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D255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5E72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2866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4C36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5AD1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087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308637A"/>
    <w:multiLevelType w:val="multilevel"/>
    <w:tmpl w:val="C0BA4C40"/>
    <w:lvl w:ilvl="0">
      <w:start w:val="1"/>
      <w:numFmt w:val="decimal"/>
      <w:lvlText w:val="%1."/>
      <w:lvlJc w:val="left"/>
      <w:pPr>
        <w:tabs>
          <w:tab w:val="num" w:pos="360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152" w:hanging="43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1" w15:restartNumberingAfterBreak="0">
    <w:nsid w:val="6AA32C6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6B2D7837"/>
    <w:multiLevelType w:val="multilevel"/>
    <w:tmpl w:val="473C4E24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2"/>
  </w:num>
  <w:num w:numId="2">
    <w:abstractNumId w:val="22"/>
  </w:num>
  <w:num w:numId="3">
    <w:abstractNumId w:val="20"/>
  </w:num>
  <w:num w:numId="4">
    <w:abstractNumId w:val="20"/>
  </w:num>
  <w:num w:numId="5">
    <w:abstractNumId w:val="20"/>
  </w:num>
  <w:num w:numId="6">
    <w:abstractNumId w:val="20"/>
  </w:num>
  <w:num w:numId="7">
    <w:abstractNumId w:val="20"/>
  </w:num>
  <w:num w:numId="8">
    <w:abstractNumId w:val="20"/>
  </w:num>
  <w:num w:numId="9">
    <w:abstractNumId w:val="17"/>
  </w:num>
  <w:num w:numId="10">
    <w:abstractNumId w:val="18"/>
  </w:num>
  <w:num w:numId="11">
    <w:abstractNumId w:val="11"/>
  </w:num>
  <w:num w:numId="12">
    <w:abstractNumId w:val="21"/>
  </w:num>
  <w:num w:numId="13">
    <w:abstractNumId w:val="15"/>
  </w:num>
  <w:num w:numId="14">
    <w:abstractNumId w:val="16"/>
  </w:num>
  <w:num w:numId="15">
    <w:abstractNumId w:val="5"/>
  </w:num>
  <w:num w:numId="16">
    <w:abstractNumId w:val="5"/>
  </w:num>
  <w:num w:numId="17">
    <w:abstractNumId w:val="4"/>
  </w:num>
  <w:num w:numId="18">
    <w:abstractNumId w:val="4"/>
  </w:num>
  <w:num w:numId="19">
    <w:abstractNumId w:val="1"/>
  </w:num>
  <w:num w:numId="20">
    <w:abstractNumId w:val="1"/>
  </w:num>
  <w:num w:numId="21">
    <w:abstractNumId w:val="0"/>
  </w:num>
  <w:num w:numId="22">
    <w:abstractNumId w:val="0"/>
  </w:num>
  <w:num w:numId="23">
    <w:abstractNumId w:val="9"/>
  </w:num>
  <w:num w:numId="24">
    <w:abstractNumId w:val="9"/>
  </w:num>
  <w:num w:numId="25">
    <w:abstractNumId w:val="8"/>
  </w:num>
  <w:num w:numId="26">
    <w:abstractNumId w:val="8"/>
  </w:num>
  <w:num w:numId="27">
    <w:abstractNumId w:val="9"/>
  </w:num>
  <w:num w:numId="28">
    <w:abstractNumId w:val="8"/>
  </w:num>
  <w:num w:numId="29">
    <w:abstractNumId w:val="9"/>
  </w:num>
  <w:num w:numId="30">
    <w:abstractNumId w:val="9"/>
  </w:num>
  <w:num w:numId="31">
    <w:abstractNumId w:val="8"/>
  </w:num>
  <w:num w:numId="32">
    <w:abstractNumId w:val="8"/>
  </w:num>
  <w:num w:numId="33">
    <w:abstractNumId w:val="7"/>
  </w:num>
  <w:num w:numId="34">
    <w:abstractNumId w:val="6"/>
  </w:num>
  <w:num w:numId="35">
    <w:abstractNumId w:val="3"/>
  </w:num>
  <w:num w:numId="36">
    <w:abstractNumId w:val="2"/>
  </w:num>
  <w:num w:numId="37">
    <w:abstractNumId w:val="12"/>
  </w:num>
  <w:num w:numId="38">
    <w:abstractNumId w:val="7"/>
  </w:num>
  <w:num w:numId="39">
    <w:abstractNumId w:val="7"/>
  </w:num>
  <w:num w:numId="40">
    <w:abstractNumId w:val="14"/>
  </w:num>
  <w:num w:numId="41">
    <w:abstractNumId w:val="10"/>
  </w:num>
  <w:num w:numId="42">
    <w:abstractNumId w:val="13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linkStyles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A36"/>
    <w:rsid w:val="00000E0E"/>
    <w:rsid w:val="00003BCE"/>
    <w:rsid w:val="000067CD"/>
    <w:rsid w:val="00014776"/>
    <w:rsid w:val="00021821"/>
    <w:rsid w:val="00023438"/>
    <w:rsid w:val="00034049"/>
    <w:rsid w:val="0003605E"/>
    <w:rsid w:val="0004633F"/>
    <w:rsid w:val="00056B5A"/>
    <w:rsid w:val="00066FFE"/>
    <w:rsid w:val="00067648"/>
    <w:rsid w:val="00072D88"/>
    <w:rsid w:val="000829C1"/>
    <w:rsid w:val="00096AFB"/>
    <w:rsid w:val="000A5D8D"/>
    <w:rsid w:val="000A7599"/>
    <w:rsid w:val="000B068E"/>
    <w:rsid w:val="000F50B8"/>
    <w:rsid w:val="000F6BE1"/>
    <w:rsid w:val="001351C0"/>
    <w:rsid w:val="00153A81"/>
    <w:rsid w:val="00163BA4"/>
    <w:rsid w:val="0017614D"/>
    <w:rsid w:val="00185F01"/>
    <w:rsid w:val="00194824"/>
    <w:rsid w:val="001B0170"/>
    <w:rsid w:val="001B1360"/>
    <w:rsid w:val="001C1354"/>
    <w:rsid w:val="001D3D54"/>
    <w:rsid w:val="001D72A6"/>
    <w:rsid w:val="001D7D30"/>
    <w:rsid w:val="001E3BEA"/>
    <w:rsid w:val="001F0728"/>
    <w:rsid w:val="00201CB9"/>
    <w:rsid w:val="0020474B"/>
    <w:rsid w:val="002362A0"/>
    <w:rsid w:val="00246DC1"/>
    <w:rsid w:val="00251B3D"/>
    <w:rsid w:val="00261CB4"/>
    <w:rsid w:val="00262364"/>
    <w:rsid w:val="0027594F"/>
    <w:rsid w:val="002860C0"/>
    <w:rsid w:val="002B305D"/>
    <w:rsid w:val="002B3835"/>
    <w:rsid w:val="002B6746"/>
    <w:rsid w:val="002D1951"/>
    <w:rsid w:val="002D796B"/>
    <w:rsid w:val="002F2550"/>
    <w:rsid w:val="002F2DD3"/>
    <w:rsid w:val="0032088F"/>
    <w:rsid w:val="00322357"/>
    <w:rsid w:val="003335BD"/>
    <w:rsid w:val="00334B22"/>
    <w:rsid w:val="00353398"/>
    <w:rsid w:val="00353C1F"/>
    <w:rsid w:val="00360440"/>
    <w:rsid w:val="00365B73"/>
    <w:rsid w:val="00366FA0"/>
    <w:rsid w:val="00380C99"/>
    <w:rsid w:val="00392E78"/>
    <w:rsid w:val="0039413A"/>
    <w:rsid w:val="003A0EEC"/>
    <w:rsid w:val="003C304F"/>
    <w:rsid w:val="003C4D67"/>
    <w:rsid w:val="003E0379"/>
    <w:rsid w:val="003E0B2D"/>
    <w:rsid w:val="003E0EF8"/>
    <w:rsid w:val="003E3C75"/>
    <w:rsid w:val="00402B38"/>
    <w:rsid w:val="004069B0"/>
    <w:rsid w:val="00407D51"/>
    <w:rsid w:val="00421346"/>
    <w:rsid w:val="004401E7"/>
    <w:rsid w:val="00452EDF"/>
    <w:rsid w:val="00461A48"/>
    <w:rsid w:val="00473BC6"/>
    <w:rsid w:val="00473DBC"/>
    <w:rsid w:val="00475602"/>
    <w:rsid w:val="004775EC"/>
    <w:rsid w:val="00477F99"/>
    <w:rsid w:val="0048016E"/>
    <w:rsid w:val="004C1944"/>
    <w:rsid w:val="004F253F"/>
    <w:rsid w:val="00514F86"/>
    <w:rsid w:val="005155D0"/>
    <w:rsid w:val="005263C6"/>
    <w:rsid w:val="005339C9"/>
    <w:rsid w:val="00534D81"/>
    <w:rsid w:val="00534DB6"/>
    <w:rsid w:val="00535F7F"/>
    <w:rsid w:val="00541590"/>
    <w:rsid w:val="0054479D"/>
    <w:rsid w:val="005543D8"/>
    <w:rsid w:val="00570615"/>
    <w:rsid w:val="00574685"/>
    <w:rsid w:val="00580F3A"/>
    <w:rsid w:val="005811B2"/>
    <w:rsid w:val="005851FE"/>
    <w:rsid w:val="00590B1A"/>
    <w:rsid w:val="0059630D"/>
    <w:rsid w:val="005A7E51"/>
    <w:rsid w:val="005B1490"/>
    <w:rsid w:val="005B351D"/>
    <w:rsid w:val="005B5CDB"/>
    <w:rsid w:val="005C7BFE"/>
    <w:rsid w:val="005D472F"/>
    <w:rsid w:val="005D7E8E"/>
    <w:rsid w:val="005E073B"/>
    <w:rsid w:val="00613C10"/>
    <w:rsid w:val="0061553F"/>
    <w:rsid w:val="00651311"/>
    <w:rsid w:val="006541F0"/>
    <w:rsid w:val="0065751B"/>
    <w:rsid w:val="0066042E"/>
    <w:rsid w:val="00672B35"/>
    <w:rsid w:val="00677F68"/>
    <w:rsid w:val="00684195"/>
    <w:rsid w:val="006A0742"/>
    <w:rsid w:val="006B01C3"/>
    <w:rsid w:val="006B5BEB"/>
    <w:rsid w:val="006B60F0"/>
    <w:rsid w:val="006F1B61"/>
    <w:rsid w:val="006F3C18"/>
    <w:rsid w:val="00707625"/>
    <w:rsid w:val="00707877"/>
    <w:rsid w:val="00710B12"/>
    <w:rsid w:val="00712B0B"/>
    <w:rsid w:val="00713D49"/>
    <w:rsid w:val="0076190A"/>
    <w:rsid w:val="00761BE7"/>
    <w:rsid w:val="00762868"/>
    <w:rsid w:val="00775BAB"/>
    <w:rsid w:val="0078151A"/>
    <w:rsid w:val="00785F14"/>
    <w:rsid w:val="007864E4"/>
    <w:rsid w:val="00791439"/>
    <w:rsid w:val="00794FE0"/>
    <w:rsid w:val="007B7636"/>
    <w:rsid w:val="007C43DB"/>
    <w:rsid w:val="007D06A8"/>
    <w:rsid w:val="007D1682"/>
    <w:rsid w:val="007D1A61"/>
    <w:rsid w:val="007E11F5"/>
    <w:rsid w:val="007E1540"/>
    <w:rsid w:val="007E1786"/>
    <w:rsid w:val="007E736B"/>
    <w:rsid w:val="007F01BA"/>
    <w:rsid w:val="007F11BE"/>
    <w:rsid w:val="007F37C8"/>
    <w:rsid w:val="008027DE"/>
    <w:rsid w:val="00804E4D"/>
    <w:rsid w:val="00807897"/>
    <w:rsid w:val="00817C2E"/>
    <w:rsid w:val="00827A36"/>
    <w:rsid w:val="00851B97"/>
    <w:rsid w:val="00864A74"/>
    <w:rsid w:val="00873CD7"/>
    <w:rsid w:val="00885F7B"/>
    <w:rsid w:val="00887C09"/>
    <w:rsid w:val="00894EC3"/>
    <w:rsid w:val="00895A50"/>
    <w:rsid w:val="0089671C"/>
    <w:rsid w:val="008A5CAD"/>
    <w:rsid w:val="008B420F"/>
    <w:rsid w:val="008D7FD7"/>
    <w:rsid w:val="008E169F"/>
    <w:rsid w:val="00901FCB"/>
    <w:rsid w:val="009061B9"/>
    <w:rsid w:val="00914A22"/>
    <w:rsid w:val="00920943"/>
    <w:rsid w:val="00925BF3"/>
    <w:rsid w:val="0093522B"/>
    <w:rsid w:val="00944529"/>
    <w:rsid w:val="00960840"/>
    <w:rsid w:val="009805FE"/>
    <w:rsid w:val="00983326"/>
    <w:rsid w:val="009845F1"/>
    <w:rsid w:val="00986A0C"/>
    <w:rsid w:val="00992060"/>
    <w:rsid w:val="009A0C79"/>
    <w:rsid w:val="009B49FD"/>
    <w:rsid w:val="009C450E"/>
    <w:rsid w:val="009D3D5D"/>
    <w:rsid w:val="009F2922"/>
    <w:rsid w:val="00A02AC4"/>
    <w:rsid w:val="00A04241"/>
    <w:rsid w:val="00A051AB"/>
    <w:rsid w:val="00A11AD4"/>
    <w:rsid w:val="00A12C1B"/>
    <w:rsid w:val="00A260EB"/>
    <w:rsid w:val="00A35694"/>
    <w:rsid w:val="00A51D97"/>
    <w:rsid w:val="00A56E5F"/>
    <w:rsid w:val="00A628CD"/>
    <w:rsid w:val="00A74701"/>
    <w:rsid w:val="00A76D54"/>
    <w:rsid w:val="00A87CF5"/>
    <w:rsid w:val="00A976C8"/>
    <w:rsid w:val="00A977A7"/>
    <w:rsid w:val="00AB7E4C"/>
    <w:rsid w:val="00AD0FA1"/>
    <w:rsid w:val="00AE19F0"/>
    <w:rsid w:val="00AE2153"/>
    <w:rsid w:val="00AE3EB9"/>
    <w:rsid w:val="00B00217"/>
    <w:rsid w:val="00B165D6"/>
    <w:rsid w:val="00B226C0"/>
    <w:rsid w:val="00B263DE"/>
    <w:rsid w:val="00B2770C"/>
    <w:rsid w:val="00B2784D"/>
    <w:rsid w:val="00B52D27"/>
    <w:rsid w:val="00B53B5A"/>
    <w:rsid w:val="00B53D25"/>
    <w:rsid w:val="00B56875"/>
    <w:rsid w:val="00B66B3F"/>
    <w:rsid w:val="00B67376"/>
    <w:rsid w:val="00B71D93"/>
    <w:rsid w:val="00B85A8B"/>
    <w:rsid w:val="00B9018B"/>
    <w:rsid w:val="00B9659C"/>
    <w:rsid w:val="00BB6321"/>
    <w:rsid w:val="00BB7EC0"/>
    <w:rsid w:val="00BC285E"/>
    <w:rsid w:val="00BD7F23"/>
    <w:rsid w:val="00BF487D"/>
    <w:rsid w:val="00C12116"/>
    <w:rsid w:val="00C21D34"/>
    <w:rsid w:val="00C326C6"/>
    <w:rsid w:val="00C34474"/>
    <w:rsid w:val="00C36837"/>
    <w:rsid w:val="00C410BE"/>
    <w:rsid w:val="00C46A2E"/>
    <w:rsid w:val="00C66B9C"/>
    <w:rsid w:val="00C67704"/>
    <w:rsid w:val="00C821B0"/>
    <w:rsid w:val="00C85DF8"/>
    <w:rsid w:val="00C8667B"/>
    <w:rsid w:val="00C97D6F"/>
    <w:rsid w:val="00CA24C7"/>
    <w:rsid w:val="00CC1237"/>
    <w:rsid w:val="00CD2918"/>
    <w:rsid w:val="00CE37A1"/>
    <w:rsid w:val="00CF4C2F"/>
    <w:rsid w:val="00D1386F"/>
    <w:rsid w:val="00D35273"/>
    <w:rsid w:val="00D41B72"/>
    <w:rsid w:val="00D52E62"/>
    <w:rsid w:val="00D6358D"/>
    <w:rsid w:val="00D7670F"/>
    <w:rsid w:val="00D81107"/>
    <w:rsid w:val="00D820F2"/>
    <w:rsid w:val="00D87B38"/>
    <w:rsid w:val="00DA72A2"/>
    <w:rsid w:val="00DB1CD3"/>
    <w:rsid w:val="00DC1E85"/>
    <w:rsid w:val="00DD20AC"/>
    <w:rsid w:val="00DD5BF0"/>
    <w:rsid w:val="00DD657E"/>
    <w:rsid w:val="00DE14EC"/>
    <w:rsid w:val="00DE5084"/>
    <w:rsid w:val="00DE6F2F"/>
    <w:rsid w:val="00DF7A7F"/>
    <w:rsid w:val="00E0194A"/>
    <w:rsid w:val="00E03095"/>
    <w:rsid w:val="00E14A3D"/>
    <w:rsid w:val="00E226EA"/>
    <w:rsid w:val="00E324D4"/>
    <w:rsid w:val="00E401A7"/>
    <w:rsid w:val="00E553F3"/>
    <w:rsid w:val="00E66C7B"/>
    <w:rsid w:val="00E719B4"/>
    <w:rsid w:val="00E80600"/>
    <w:rsid w:val="00E816E5"/>
    <w:rsid w:val="00E85490"/>
    <w:rsid w:val="00EA1B12"/>
    <w:rsid w:val="00EA3D0B"/>
    <w:rsid w:val="00EA6177"/>
    <w:rsid w:val="00EC56CA"/>
    <w:rsid w:val="00EC6C9A"/>
    <w:rsid w:val="00ED0F4A"/>
    <w:rsid w:val="00ED7DEA"/>
    <w:rsid w:val="00EE4630"/>
    <w:rsid w:val="00EF214D"/>
    <w:rsid w:val="00EF5E35"/>
    <w:rsid w:val="00F073A2"/>
    <w:rsid w:val="00F12989"/>
    <w:rsid w:val="00F177F8"/>
    <w:rsid w:val="00F202B2"/>
    <w:rsid w:val="00F22C46"/>
    <w:rsid w:val="00F43CFE"/>
    <w:rsid w:val="00F44A69"/>
    <w:rsid w:val="00F52B81"/>
    <w:rsid w:val="00F545A4"/>
    <w:rsid w:val="00F64091"/>
    <w:rsid w:val="00F83A3F"/>
    <w:rsid w:val="00F8744F"/>
    <w:rsid w:val="00F9146E"/>
    <w:rsid w:val="00F939D1"/>
    <w:rsid w:val="00FA5159"/>
    <w:rsid w:val="00FB1964"/>
    <w:rsid w:val="00FE7E19"/>
    <w:rsid w:val="00FF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75E908"/>
  <w15:docId w15:val="{84DE97EF-9ABF-4691-9D57-1F6AD566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"/>
    <w:rsid w:val="006541F0"/>
    <w:pPr>
      <w:ind w:firstLine="360"/>
    </w:pPr>
    <w:rPr>
      <w:szCs w:val="24"/>
    </w:rPr>
  </w:style>
  <w:style w:type="paragraph" w:styleId="Heading1">
    <w:name w:val="heading 1"/>
    <w:aliases w:val="H1"/>
    <w:basedOn w:val="Normal"/>
    <w:link w:val="Heading1Char"/>
    <w:rsid w:val="006541F0"/>
    <w:pPr>
      <w:numPr>
        <w:numId w:val="41"/>
      </w:numPr>
      <w:outlineLvl w:val="0"/>
    </w:pPr>
    <w:rPr>
      <w:color w:val="000000"/>
    </w:rPr>
  </w:style>
  <w:style w:type="paragraph" w:styleId="Heading2">
    <w:name w:val="heading 2"/>
    <w:aliases w:val="H2"/>
    <w:basedOn w:val="Normal"/>
    <w:link w:val="Heading2Char"/>
    <w:rsid w:val="006541F0"/>
    <w:pPr>
      <w:numPr>
        <w:ilvl w:val="1"/>
        <w:numId w:val="41"/>
      </w:numPr>
      <w:outlineLvl w:val="1"/>
    </w:pPr>
  </w:style>
  <w:style w:type="paragraph" w:styleId="Heading3">
    <w:name w:val="heading 3"/>
    <w:aliases w:val="H3"/>
    <w:basedOn w:val="Normal"/>
    <w:link w:val="Heading3Char"/>
    <w:rsid w:val="006541F0"/>
    <w:pPr>
      <w:numPr>
        <w:ilvl w:val="2"/>
        <w:numId w:val="41"/>
      </w:numPr>
      <w:outlineLvl w:val="2"/>
    </w:pPr>
    <w:rPr>
      <w:color w:val="000000"/>
    </w:rPr>
  </w:style>
  <w:style w:type="paragraph" w:styleId="Heading4">
    <w:name w:val="heading 4"/>
    <w:aliases w:val="H4"/>
    <w:basedOn w:val="Normal"/>
    <w:link w:val="Heading4Char"/>
    <w:rsid w:val="006541F0"/>
    <w:pPr>
      <w:numPr>
        <w:ilvl w:val="3"/>
        <w:numId w:val="41"/>
      </w:numPr>
      <w:outlineLvl w:val="3"/>
    </w:pPr>
  </w:style>
  <w:style w:type="paragraph" w:styleId="Heading5">
    <w:name w:val="heading 5"/>
    <w:aliases w:val="H5"/>
    <w:basedOn w:val="Normal"/>
    <w:rsid w:val="006541F0"/>
    <w:pPr>
      <w:numPr>
        <w:ilvl w:val="4"/>
        <w:numId w:val="41"/>
      </w:numPr>
      <w:outlineLvl w:val="4"/>
    </w:pPr>
  </w:style>
  <w:style w:type="paragraph" w:styleId="Heading6">
    <w:name w:val="heading 6"/>
    <w:aliases w:val="H6"/>
    <w:basedOn w:val="Normal"/>
    <w:rsid w:val="006541F0"/>
    <w:pPr>
      <w:numPr>
        <w:ilvl w:val="5"/>
        <w:numId w:val="41"/>
      </w:numPr>
      <w:outlineLvl w:val="5"/>
    </w:pPr>
  </w:style>
  <w:style w:type="paragraph" w:styleId="Heading7">
    <w:name w:val="heading 7"/>
    <w:basedOn w:val="Normal"/>
    <w:rsid w:val="006541F0"/>
    <w:pPr>
      <w:numPr>
        <w:ilvl w:val="6"/>
        <w:numId w:val="41"/>
      </w:numPr>
      <w:outlineLvl w:val="6"/>
    </w:pPr>
  </w:style>
  <w:style w:type="paragraph" w:styleId="Heading8">
    <w:name w:val="heading 8"/>
    <w:basedOn w:val="Normal"/>
    <w:rsid w:val="006541F0"/>
    <w:pPr>
      <w:numPr>
        <w:ilvl w:val="7"/>
        <w:numId w:val="41"/>
      </w:numPr>
      <w:outlineLvl w:val="7"/>
    </w:pPr>
  </w:style>
  <w:style w:type="paragraph" w:styleId="Heading9">
    <w:name w:val="heading 9"/>
    <w:basedOn w:val="Normal"/>
    <w:rsid w:val="006541F0"/>
    <w:pPr>
      <w:numPr>
        <w:ilvl w:val="8"/>
        <w:numId w:val="41"/>
      </w:numPr>
      <w:outlineLvl w:val="8"/>
    </w:pPr>
  </w:style>
  <w:style w:type="character" w:default="1" w:styleId="DefaultParagraphFont">
    <w:name w:val="Default Paragraph Font"/>
    <w:semiHidden/>
    <w:rsid w:val="006541F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541F0"/>
  </w:style>
  <w:style w:type="paragraph" w:customStyle="1" w:styleId="Tablecellleft">
    <w:name w:val="Table cell left"/>
    <w:basedOn w:val="Normal"/>
    <w:rsid w:val="006541F0"/>
    <w:pPr>
      <w:ind w:firstLine="0"/>
    </w:pPr>
  </w:style>
  <w:style w:type="paragraph" w:styleId="BlockText">
    <w:name w:val="Block Text"/>
    <w:basedOn w:val="Normal"/>
    <w:semiHidden/>
    <w:rsid w:val="00B226C0"/>
    <w:pPr>
      <w:spacing w:after="120"/>
      <w:ind w:left="1440" w:right="1440"/>
    </w:pPr>
  </w:style>
  <w:style w:type="paragraph" w:styleId="BodyText">
    <w:name w:val="Body Text"/>
    <w:basedOn w:val="Normal"/>
    <w:semiHidden/>
    <w:rsid w:val="00B226C0"/>
    <w:pPr>
      <w:spacing w:after="120"/>
    </w:pPr>
  </w:style>
  <w:style w:type="paragraph" w:styleId="Footer">
    <w:name w:val="footer"/>
    <w:basedOn w:val="Normal"/>
    <w:link w:val="FooterChar"/>
    <w:uiPriority w:val="99"/>
    <w:rsid w:val="00B226C0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B226C0"/>
    <w:pPr>
      <w:tabs>
        <w:tab w:val="center" w:pos="4320"/>
        <w:tab w:val="right" w:pos="8640"/>
      </w:tabs>
    </w:pPr>
  </w:style>
  <w:style w:type="character" w:styleId="Hyperlink">
    <w:name w:val="Hyperlink"/>
    <w:rsid w:val="006541F0"/>
    <w:rPr>
      <w:color w:val="0000FF"/>
      <w:u w:val="single"/>
    </w:rPr>
  </w:style>
  <w:style w:type="paragraph" w:styleId="List4">
    <w:name w:val="List 4"/>
    <w:basedOn w:val="Normal"/>
    <w:semiHidden/>
    <w:rsid w:val="00B226C0"/>
    <w:pPr>
      <w:ind w:left="1440" w:hanging="360"/>
    </w:pPr>
  </w:style>
  <w:style w:type="paragraph" w:styleId="NormalIndent">
    <w:name w:val="Normal Indent"/>
    <w:basedOn w:val="Normal"/>
    <w:semiHidden/>
    <w:rsid w:val="00B226C0"/>
    <w:pPr>
      <w:ind w:left="720"/>
    </w:pPr>
  </w:style>
  <w:style w:type="paragraph" w:styleId="ListBullet">
    <w:name w:val="List Bullet"/>
    <w:basedOn w:val="Normal"/>
    <w:rsid w:val="006541F0"/>
    <w:pPr>
      <w:ind w:left="360" w:hanging="360"/>
    </w:pPr>
  </w:style>
  <w:style w:type="paragraph" w:styleId="ListNumber">
    <w:name w:val="List Number"/>
    <w:basedOn w:val="Normal"/>
    <w:autoRedefine/>
    <w:rsid w:val="007E1540"/>
    <w:pPr>
      <w:numPr>
        <w:numId w:val="32"/>
      </w:numPr>
    </w:pPr>
  </w:style>
  <w:style w:type="paragraph" w:styleId="Title">
    <w:name w:val="Title"/>
    <w:basedOn w:val="Normal"/>
    <w:next w:val="Normal"/>
    <w:link w:val="TitleChar"/>
    <w:autoRedefine/>
    <w:qFormat/>
    <w:rsid w:val="006541F0"/>
    <w:pPr>
      <w:ind w:firstLine="0"/>
      <w:jc w:val="center"/>
    </w:pPr>
    <w:rPr>
      <w:b/>
    </w:rPr>
  </w:style>
  <w:style w:type="character" w:customStyle="1" w:styleId="RunInHeader">
    <w:name w:val="RunInHeader"/>
    <w:rsid w:val="006541F0"/>
    <w:rPr>
      <w:b/>
    </w:rPr>
  </w:style>
  <w:style w:type="character" w:customStyle="1" w:styleId="FooterChar">
    <w:name w:val="Footer Char"/>
    <w:basedOn w:val="DefaultParagraphFont"/>
    <w:link w:val="Footer"/>
    <w:uiPriority w:val="99"/>
    <w:rsid w:val="00827A36"/>
    <w:rPr>
      <w:sz w:val="24"/>
      <w:szCs w:val="24"/>
    </w:rPr>
  </w:style>
  <w:style w:type="character" w:customStyle="1" w:styleId="Heading2Char">
    <w:name w:val="Heading 2 Char"/>
    <w:aliases w:val="H2 Char"/>
    <w:basedOn w:val="DefaultParagraphFont"/>
    <w:link w:val="Heading2"/>
    <w:rsid w:val="00827A36"/>
    <w:rPr>
      <w:szCs w:val="24"/>
    </w:rPr>
  </w:style>
  <w:style w:type="character" w:customStyle="1" w:styleId="Heading3Char">
    <w:name w:val="Heading 3 Char"/>
    <w:aliases w:val="H3 Char"/>
    <w:basedOn w:val="DefaultParagraphFont"/>
    <w:link w:val="Heading3"/>
    <w:rsid w:val="00827A36"/>
    <w:rPr>
      <w:color w:val="000000"/>
      <w:szCs w:val="24"/>
    </w:rPr>
  </w:style>
  <w:style w:type="paragraph" w:customStyle="1" w:styleId="Blockquote">
    <w:name w:val="Blockquote"/>
    <w:basedOn w:val="Normal"/>
    <w:rsid w:val="006541F0"/>
    <w:pPr>
      <w:ind w:left="1440" w:right="1440" w:firstLine="0"/>
    </w:pPr>
  </w:style>
  <w:style w:type="paragraph" w:customStyle="1" w:styleId="Tablecellcenter">
    <w:name w:val="Table cell center"/>
    <w:basedOn w:val="Tablecellleft"/>
    <w:rsid w:val="006541F0"/>
    <w:pPr>
      <w:jc w:val="center"/>
    </w:pPr>
  </w:style>
  <w:style w:type="character" w:customStyle="1" w:styleId="Heading1Char">
    <w:name w:val="Heading 1 Char"/>
    <w:aliases w:val="H1 Char"/>
    <w:basedOn w:val="DefaultParagraphFont"/>
    <w:link w:val="Heading1"/>
    <w:rsid w:val="00DF7A7F"/>
    <w:rPr>
      <w:color w:val="000000"/>
      <w:szCs w:val="24"/>
    </w:rPr>
  </w:style>
  <w:style w:type="character" w:customStyle="1" w:styleId="Heading4Char">
    <w:name w:val="Heading 4 Char"/>
    <w:aliases w:val="H4 Char"/>
    <w:basedOn w:val="DefaultParagraphFont"/>
    <w:link w:val="Heading4"/>
    <w:rsid w:val="00DF7A7F"/>
    <w:rPr>
      <w:szCs w:val="24"/>
    </w:rPr>
  </w:style>
  <w:style w:type="paragraph" w:customStyle="1" w:styleId="Tablecolumn">
    <w:name w:val="Table column"/>
    <w:basedOn w:val="Tablecellleft"/>
    <w:rsid w:val="006541F0"/>
    <w:pPr>
      <w:jc w:val="center"/>
    </w:pPr>
    <w:rPr>
      <w:b/>
    </w:rPr>
  </w:style>
  <w:style w:type="paragraph" w:customStyle="1" w:styleId="Tablerow">
    <w:name w:val="Table row"/>
    <w:basedOn w:val="Tablecellleft"/>
    <w:rsid w:val="006541F0"/>
    <w:rPr>
      <w:b/>
    </w:rPr>
  </w:style>
  <w:style w:type="table" w:styleId="TableGrid">
    <w:name w:val="Table Grid"/>
    <w:basedOn w:val="TableNormal"/>
    <w:rsid w:val="007F0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34B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4B22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2B305D"/>
    <w:rPr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3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24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96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2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998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5310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371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n\Documents\Templates\outlin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outline.dot</Template>
  <TotalTime>160</TotalTime>
  <Pages>3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Oregon</Company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B. Mitchell</dc:creator>
  <cp:lastModifiedBy>Ronald Mitchell</cp:lastModifiedBy>
  <cp:revision>140</cp:revision>
  <cp:lastPrinted>2015-10-17T14:45:00Z</cp:lastPrinted>
  <dcterms:created xsi:type="dcterms:W3CDTF">2011-10-08T17:39:00Z</dcterms:created>
  <dcterms:modified xsi:type="dcterms:W3CDTF">2018-10-14T04:12:00Z</dcterms:modified>
</cp:coreProperties>
</file>